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1D920E" w14:textId="77777777" w:rsidR="00B57E04" w:rsidRDefault="00B57E04" w:rsidP="00B57E04">
      <w:pPr>
        <w:shd w:val="clear" w:color="auto" w:fill="FFFFFF"/>
        <w:spacing w:before="75" w:after="225" w:line="240" w:lineRule="auto"/>
        <w:rPr>
          <w:b/>
          <w:i/>
          <w:u w:val="single"/>
        </w:rPr>
      </w:pPr>
      <w:bookmarkStart w:id="0" w:name="_GoBack"/>
      <w:bookmarkEnd w:id="0"/>
      <w:r w:rsidRPr="00B57E04">
        <w:rPr>
          <w:b/>
          <w:i/>
          <w:u w:val="single"/>
        </w:rPr>
        <w:t>REVIEW OF EXISTING STUDIES AND RELATED RESEARCH ON THE ISSUE OF THE USE OF TECHNOLOGY IN LE</w:t>
      </w:r>
      <w:r>
        <w:rPr>
          <w:b/>
          <w:i/>
          <w:u w:val="single"/>
        </w:rPr>
        <w:t xml:space="preserve">ADERAHIP DEVELOPMENT </w:t>
      </w:r>
    </w:p>
    <w:p w14:paraId="3278E626" w14:textId="77777777" w:rsidR="00B57E04" w:rsidRDefault="00B57E04" w:rsidP="00B57E04">
      <w:pPr>
        <w:shd w:val="clear" w:color="auto" w:fill="FFFFFF"/>
        <w:spacing w:before="75" w:after="225" w:line="240" w:lineRule="auto"/>
        <w:rPr>
          <w:rFonts w:ascii="Arial" w:eastAsia="Times New Roman" w:hAnsi="Arial" w:cs="Arial"/>
          <w:i/>
          <w:iCs/>
          <w:color w:val="333333"/>
          <w:sz w:val="21"/>
          <w:szCs w:val="21"/>
          <w:lang w:val="en" w:eastAsia="en-IE"/>
        </w:rPr>
      </w:pPr>
      <w:r>
        <w:rPr>
          <w:rFonts w:ascii="Arial" w:eastAsia="Times New Roman" w:hAnsi="Arial" w:cs="Arial"/>
          <w:color w:val="333333"/>
          <w:sz w:val="21"/>
          <w:szCs w:val="21"/>
          <w:lang w:val="en" w:eastAsia="en-IE"/>
        </w:rPr>
        <w:t xml:space="preserve">The essay is about innovation, as an opportunity to explore the topic of online delivery in leadership development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and to share my view of the significance of </w:t>
      </w:r>
      <w:proofErr w:type="spellStart"/>
      <w:r>
        <w:rPr>
          <w:rFonts w:ascii="Arial" w:eastAsia="Times New Roman" w:hAnsi="Arial" w:cs="Arial"/>
          <w:color w:val="333333"/>
          <w:sz w:val="21"/>
          <w:szCs w:val="21"/>
          <w:lang w:val="en" w:eastAsia="en-IE"/>
        </w:rPr>
        <w:t>digitalisation</w:t>
      </w:r>
      <w:proofErr w:type="spellEnd"/>
      <w:r>
        <w:rPr>
          <w:rFonts w:ascii="Arial" w:eastAsia="Times New Roman" w:hAnsi="Arial" w:cs="Arial"/>
          <w:color w:val="333333"/>
          <w:sz w:val="21"/>
          <w:szCs w:val="21"/>
          <w:lang w:val="en" w:eastAsia="en-IE"/>
        </w:rPr>
        <w:t xml:space="preserve"> as a lens through which to understand open education, </w:t>
      </w:r>
      <w:proofErr w:type="gramStart"/>
      <w:r>
        <w:rPr>
          <w:rFonts w:ascii="Arial" w:eastAsia="Times New Roman" w:hAnsi="Arial" w:cs="Arial"/>
          <w:color w:val="333333"/>
          <w:sz w:val="21"/>
          <w:szCs w:val="21"/>
          <w:lang w:val="en" w:eastAsia="en-IE"/>
        </w:rPr>
        <w:t>and  specifically</w:t>
      </w:r>
      <w:proofErr w:type="gramEnd"/>
      <w:r>
        <w:rPr>
          <w:rFonts w:ascii="Arial" w:eastAsia="Times New Roman" w:hAnsi="Arial" w:cs="Arial"/>
          <w:color w:val="333333"/>
          <w:sz w:val="21"/>
          <w:szCs w:val="21"/>
          <w:lang w:val="en" w:eastAsia="en-IE"/>
        </w:rPr>
        <w:t xml:space="preserve"> in relation to online delivery as part of leadership development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w:t>
      </w:r>
    </w:p>
    <w:p w14:paraId="63220915" w14:textId="77777777" w:rsidR="00B57E04" w:rsidRDefault="00B57E04" w:rsidP="00B57E04">
      <w:pPr>
        <w:shd w:val="clear" w:color="auto" w:fill="FFFFFF"/>
        <w:spacing w:before="75" w:after="225" w:line="240" w:lineRule="auto"/>
        <w:rPr>
          <w:rFonts w:ascii="Arial" w:eastAsia="Times New Roman" w:hAnsi="Arial" w:cs="Arial"/>
          <w:i/>
          <w:iCs/>
          <w:color w:val="333333"/>
          <w:sz w:val="21"/>
          <w:szCs w:val="21"/>
          <w:lang w:val="en" w:eastAsia="en-IE"/>
        </w:rPr>
      </w:pPr>
      <w:r>
        <w:rPr>
          <w:rFonts w:ascii="Arial" w:eastAsia="Times New Roman" w:hAnsi="Arial" w:cs="Arial"/>
          <w:b/>
          <w:bCs/>
          <w:color w:val="333333"/>
          <w:sz w:val="21"/>
          <w:szCs w:val="21"/>
          <w:lang w:val="en" w:eastAsia="en-IE"/>
        </w:rPr>
        <w:t>The Issue and Context</w:t>
      </w:r>
    </w:p>
    <w:p w14:paraId="2BC35D32"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The development of leaders and leadership is seen as a priority in all societies, and especially in modern societies faced with deep uncertainty and change. As </w:t>
      </w:r>
      <w:proofErr w:type="spellStart"/>
      <w:r>
        <w:rPr>
          <w:rFonts w:ascii="Arial" w:eastAsia="Times New Roman" w:hAnsi="Arial" w:cs="Arial"/>
          <w:color w:val="333333"/>
          <w:sz w:val="21"/>
          <w:szCs w:val="21"/>
          <w:lang w:val="en" w:eastAsia="en-IE"/>
        </w:rPr>
        <w:t>Moldoveanu</w:t>
      </w:r>
      <w:proofErr w:type="spellEnd"/>
      <w:r>
        <w:rPr>
          <w:rFonts w:ascii="Arial" w:eastAsia="Times New Roman" w:hAnsi="Arial" w:cs="Arial"/>
          <w:color w:val="333333"/>
          <w:sz w:val="21"/>
          <w:szCs w:val="21"/>
          <w:lang w:val="en" w:eastAsia="en-IE"/>
        </w:rPr>
        <w:t xml:space="preserve"> and </w:t>
      </w:r>
      <w:proofErr w:type="spellStart"/>
      <w:r>
        <w:rPr>
          <w:rFonts w:ascii="Arial" w:eastAsia="Times New Roman" w:hAnsi="Arial" w:cs="Arial"/>
          <w:color w:val="333333"/>
          <w:sz w:val="21"/>
          <w:szCs w:val="21"/>
          <w:lang w:val="en" w:eastAsia="en-IE"/>
        </w:rPr>
        <w:t>Narayandas</w:t>
      </w:r>
      <w:proofErr w:type="spellEnd"/>
      <w:r>
        <w:rPr>
          <w:rFonts w:ascii="Arial" w:eastAsia="Times New Roman" w:hAnsi="Arial" w:cs="Arial"/>
          <w:color w:val="333333"/>
          <w:sz w:val="21"/>
          <w:szCs w:val="21"/>
          <w:lang w:val="en" w:eastAsia="en-IE"/>
        </w:rPr>
        <w:t xml:space="preserve"> (2019) put it, “The need for leadership development has never been more urgent. Companies of all sorts </w:t>
      </w:r>
      <w:proofErr w:type="spellStart"/>
      <w:r>
        <w:rPr>
          <w:rFonts w:ascii="Arial" w:eastAsia="Times New Roman" w:hAnsi="Arial" w:cs="Arial"/>
          <w:color w:val="333333"/>
          <w:sz w:val="21"/>
          <w:szCs w:val="21"/>
          <w:lang w:val="en" w:eastAsia="en-IE"/>
        </w:rPr>
        <w:t>realise</w:t>
      </w:r>
      <w:proofErr w:type="spellEnd"/>
      <w:r>
        <w:rPr>
          <w:rFonts w:ascii="Arial" w:eastAsia="Times New Roman" w:hAnsi="Arial" w:cs="Arial"/>
          <w:color w:val="333333"/>
          <w:sz w:val="21"/>
          <w:szCs w:val="21"/>
          <w:lang w:val="en" w:eastAsia="en-IE"/>
        </w:rPr>
        <w:t xml:space="preserve"> that to survive in today’s volatile, uncertain, complex and ambiguous environment, they need leadership skills and </w:t>
      </w:r>
      <w:proofErr w:type="spellStart"/>
      <w:r>
        <w:rPr>
          <w:rFonts w:ascii="Arial" w:eastAsia="Times New Roman" w:hAnsi="Arial" w:cs="Arial"/>
          <w:color w:val="333333"/>
          <w:sz w:val="21"/>
          <w:szCs w:val="21"/>
          <w:lang w:val="en" w:eastAsia="en-IE"/>
        </w:rPr>
        <w:t>organisational</w:t>
      </w:r>
      <w:proofErr w:type="spellEnd"/>
      <w:r>
        <w:rPr>
          <w:rFonts w:ascii="Arial" w:eastAsia="Times New Roman" w:hAnsi="Arial" w:cs="Arial"/>
          <w:color w:val="333333"/>
          <w:sz w:val="21"/>
          <w:szCs w:val="21"/>
          <w:lang w:val="en" w:eastAsia="en-IE"/>
        </w:rPr>
        <w:t xml:space="preserve"> capabilities different from those that helped them succeed in the past.” </w:t>
      </w:r>
    </w:p>
    <w:p w14:paraId="00DB1698"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Innovations within technology and specifically digital technology, has spread to all aspects of human life, and online and blended media is now a widely accepted part of learning and teaching practice throughout the world. The question to be considered is what is the potential role that the innovations of education technology can play in modern leadership development, and if so, what kind of role can it play? Exploring the potential of technology innovation in delivering leadership development is the focus of this project. Both the strategic rationale (Why) and tactical application (How) will be examined. </w:t>
      </w:r>
    </w:p>
    <w:p w14:paraId="6FFE6702"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There are currently many blended or/and online leadership development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According to Jenkins (2016), of the International Leadership Association (ILA) listing of over 2000 leadership development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about half involve online or blended (i.e. online and face2face) media, and there are 200 that are purely online and receiving academic credits. </w:t>
      </w:r>
      <w:r>
        <w:rPr>
          <w:rFonts w:ascii="Arial" w:eastAsia="Times New Roman" w:hAnsi="Arial" w:cs="Arial"/>
          <w:b/>
          <w:bCs/>
          <w:color w:val="333333"/>
          <w:sz w:val="21"/>
          <w:szCs w:val="21"/>
          <w:lang w:val="en" w:eastAsia="en-IE"/>
        </w:rPr>
        <w:t> </w:t>
      </w:r>
    </w:p>
    <w:p w14:paraId="0DC2B4DD"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b/>
          <w:bCs/>
          <w:color w:val="333333"/>
          <w:sz w:val="21"/>
          <w:szCs w:val="21"/>
          <w:lang w:val="en" w:eastAsia="en-IE"/>
        </w:rPr>
        <w:t xml:space="preserve">The Strategic Rationale </w:t>
      </w:r>
    </w:p>
    <w:p w14:paraId="01A127FA"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bookmarkStart w:id="1" w:name="_Hlk24815193"/>
      <w:proofErr w:type="spellStart"/>
      <w:r>
        <w:rPr>
          <w:rFonts w:ascii="Arial" w:eastAsia="Times New Roman" w:hAnsi="Arial" w:cs="Arial"/>
          <w:color w:val="000000"/>
          <w:sz w:val="21"/>
          <w:szCs w:val="21"/>
          <w:shd w:val="clear" w:color="auto" w:fill="FFFFFF"/>
          <w:lang w:val="en" w:eastAsia="en-IE"/>
        </w:rPr>
        <w:t>Moldoveanu</w:t>
      </w:r>
      <w:proofErr w:type="spellEnd"/>
      <w:r>
        <w:rPr>
          <w:rFonts w:ascii="Arial" w:eastAsia="Times New Roman" w:hAnsi="Arial" w:cs="Arial"/>
          <w:color w:val="000000"/>
          <w:sz w:val="21"/>
          <w:szCs w:val="21"/>
          <w:shd w:val="clear" w:color="auto" w:fill="FFFFFF"/>
          <w:lang w:val="en" w:eastAsia="en-IE"/>
        </w:rPr>
        <w:t xml:space="preserve"> and </w:t>
      </w:r>
      <w:proofErr w:type="spellStart"/>
      <w:r>
        <w:rPr>
          <w:rFonts w:ascii="Arial" w:eastAsia="Times New Roman" w:hAnsi="Arial" w:cs="Arial"/>
          <w:color w:val="000000"/>
          <w:sz w:val="21"/>
          <w:szCs w:val="21"/>
          <w:shd w:val="clear" w:color="auto" w:fill="FFFFFF"/>
          <w:lang w:val="en" w:eastAsia="en-IE"/>
        </w:rPr>
        <w:t>Narayandas</w:t>
      </w:r>
      <w:proofErr w:type="spellEnd"/>
      <w:r>
        <w:rPr>
          <w:rFonts w:ascii="Arial" w:eastAsia="Times New Roman" w:hAnsi="Arial" w:cs="Arial"/>
          <w:color w:val="000000"/>
          <w:sz w:val="21"/>
          <w:szCs w:val="21"/>
          <w:shd w:val="clear" w:color="auto" w:fill="FFFFFF"/>
          <w:lang w:val="en" w:eastAsia="en-IE"/>
        </w:rPr>
        <w:t xml:space="preserve"> (2019),</w:t>
      </w:r>
      <w:r>
        <w:rPr>
          <w:rFonts w:ascii="Arial" w:eastAsia="Times New Roman" w:hAnsi="Arial" w:cs="Arial"/>
          <w:color w:val="0B55A8"/>
          <w:sz w:val="21"/>
          <w:szCs w:val="21"/>
          <w:shd w:val="clear" w:color="auto" w:fill="FFFFFF"/>
          <w:lang w:val="en" w:eastAsia="en-IE"/>
        </w:rPr>
        <w:t xml:space="preserve"> </w:t>
      </w:r>
      <w:bookmarkEnd w:id="1"/>
      <w:r>
        <w:rPr>
          <w:rFonts w:ascii="Arial" w:eastAsia="Times New Roman" w:hAnsi="Arial" w:cs="Arial"/>
          <w:color w:val="333333"/>
          <w:sz w:val="21"/>
          <w:szCs w:val="21"/>
          <w:shd w:val="clear" w:color="auto" w:fill="FFFFFF"/>
          <w:lang w:val="en" w:eastAsia="en-IE"/>
        </w:rPr>
        <w:t>i</w:t>
      </w:r>
      <w:r>
        <w:rPr>
          <w:rFonts w:ascii="Arial" w:eastAsia="Times New Roman" w:hAnsi="Arial" w:cs="Arial"/>
          <w:color w:val="333333"/>
          <w:sz w:val="21"/>
          <w:szCs w:val="21"/>
          <w:lang w:val="en" w:eastAsia="en-IE"/>
        </w:rPr>
        <w:t xml:space="preserve">n considering the future of leadership development and educating the next generation of leaders, point to growing frustration with the results of the billions spent on leadership development each year. “Companies are seeking the communicative, interpretive, affective, and perceptual skills needed to lead coherent, proactive collaboration. But most executive education programs …focus on discipline-based skill sets, such as strategy development and financial analysis…” </w:t>
      </w:r>
    </w:p>
    <w:p w14:paraId="1E87634F"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The reasons for such a disjointed state of leadership programs is gap in motivations between </w:t>
      </w:r>
      <w:proofErr w:type="spellStart"/>
      <w:r>
        <w:rPr>
          <w:rFonts w:ascii="Arial" w:eastAsia="Times New Roman" w:hAnsi="Arial" w:cs="Arial"/>
          <w:color w:val="333333"/>
          <w:sz w:val="21"/>
          <w:szCs w:val="21"/>
          <w:lang w:val="en" w:eastAsia="en-IE"/>
        </w:rPr>
        <w:t>organisations</w:t>
      </w:r>
      <w:proofErr w:type="spellEnd"/>
      <w:r>
        <w:rPr>
          <w:rFonts w:ascii="Arial" w:eastAsia="Times New Roman" w:hAnsi="Arial" w:cs="Arial"/>
          <w:color w:val="333333"/>
          <w:sz w:val="21"/>
          <w:szCs w:val="21"/>
          <w:lang w:val="en" w:eastAsia="en-IE"/>
        </w:rPr>
        <w:t xml:space="preserve"> and participating employees, gap between skills required by companies and those taught on these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(often extensions or mini-versions of MBAs), and the skills transfer gap (too few participants transfer what is learnt to their place of work).  </w:t>
      </w:r>
    </w:p>
    <w:p w14:paraId="4AF99E19"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However, </w:t>
      </w:r>
      <w:proofErr w:type="spellStart"/>
      <w:r>
        <w:rPr>
          <w:rFonts w:ascii="Arial" w:eastAsia="Times New Roman" w:hAnsi="Arial" w:cs="Arial"/>
          <w:color w:val="333333"/>
          <w:sz w:val="21"/>
          <w:szCs w:val="21"/>
          <w:lang w:val="en" w:eastAsia="en-IE"/>
        </w:rPr>
        <w:t>Moldoveanu</w:t>
      </w:r>
      <w:proofErr w:type="spellEnd"/>
      <w:r>
        <w:rPr>
          <w:rFonts w:ascii="Arial" w:eastAsia="Times New Roman" w:hAnsi="Arial" w:cs="Arial"/>
          <w:color w:val="333333"/>
          <w:sz w:val="21"/>
          <w:szCs w:val="21"/>
          <w:lang w:val="en" w:eastAsia="en-IE"/>
        </w:rPr>
        <w:t xml:space="preserve"> and </w:t>
      </w:r>
      <w:proofErr w:type="spellStart"/>
      <w:r>
        <w:rPr>
          <w:rFonts w:ascii="Arial" w:eastAsia="Times New Roman" w:hAnsi="Arial" w:cs="Arial"/>
          <w:color w:val="333333"/>
          <w:sz w:val="21"/>
          <w:szCs w:val="21"/>
          <w:lang w:val="en" w:eastAsia="en-IE"/>
        </w:rPr>
        <w:t>Narayandas</w:t>
      </w:r>
      <w:proofErr w:type="spellEnd"/>
      <w:r>
        <w:rPr>
          <w:rFonts w:ascii="Arial" w:eastAsia="Times New Roman" w:hAnsi="Arial" w:cs="Arial"/>
          <w:color w:val="333333"/>
          <w:sz w:val="21"/>
          <w:szCs w:val="21"/>
          <w:lang w:val="en" w:eastAsia="en-IE"/>
        </w:rPr>
        <w:t xml:space="preserve"> (2019) suggest that </w:t>
      </w:r>
    </w:p>
    <w:p w14:paraId="65330699"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“The good news is that the growing assortment of online courses, social and interactive platforms, and learning tools from both traditional institutions and upstarts – which make up what we call the “personal learning cloud” (PLC) -offers a solution. </w:t>
      </w:r>
      <w:proofErr w:type="spellStart"/>
      <w:r>
        <w:rPr>
          <w:rFonts w:ascii="Arial" w:eastAsia="Times New Roman" w:hAnsi="Arial" w:cs="Arial"/>
          <w:color w:val="333333"/>
          <w:sz w:val="21"/>
          <w:szCs w:val="21"/>
          <w:lang w:val="en" w:eastAsia="en-IE"/>
        </w:rPr>
        <w:t>Organisations</w:t>
      </w:r>
      <w:proofErr w:type="spellEnd"/>
      <w:r>
        <w:rPr>
          <w:rFonts w:ascii="Arial" w:eastAsia="Times New Roman" w:hAnsi="Arial" w:cs="Arial"/>
          <w:color w:val="333333"/>
          <w:sz w:val="21"/>
          <w:szCs w:val="21"/>
          <w:lang w:val="en" w:eastAsia="en-IE"/>
        </w:rPr>
        <w:t xml:space="preserve"> can select components from the PLC and tailor them to the needs and </w:t>
      </w:r>
      <w:proofErr w:type="spellStart"/>
      <w:r>
        <w:rPr>
          <w:rFonts w:ascii="Arial" w:eastAsia="Times New Roman" w:hAnsi="Arial" w:cs="Arial"/>
          <w:color w:val="333333"/>
          <w:sz w:val="21"/>
          <w:szCs w:val="21"/>
          <w:lang w:val="en" w:eastAsia="en-IE"/>
        </w:rPr>
        <w:t>behaviours</w:t>
      </w:r>
      <w:proofErr w:type="spellEnd"/>
      <w:r>
        <w:rPr>
          <w:rFonts w:ascii="Arial" w:eastAsia="Times New Roman" w:hAnsi="Arial" w:cs="Arial"/>
          <w:color w:val="333333"/>
          <w:sz w:val="21"/>
          <w:szCs w:val="21"/>
          <w:lang w:val="en" w:eastAsia="en-IE"/>
        </w:rPr>
        <w:t xml:space="preserve"> of individual and teams. The PLC is flexible and immediately accessible, and it enables employees to pick up skills in the context in which they must be used.”</w:t>
      </w:r>
    </w:p>
    <w:p w14:paraId="7191181C"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The authors describe a landscape of providers that includes business schools with standard offers, business schools with </w:t>
      </w:r>
      <w:proofErr w:type="spellStart"/>
      <w:r>
        <w:rPr>
          <w:rFonts w:ascii="Arial" w:eastAsia="Times New Roman" w:hAnsi="Arial" w:cs="Arial"/>
          <w:color w:val="333333"/>
          <w:sz w:val="21"/>
          <w:szCs w:val="21"/>
          <w:lang w:val="en" w:eastAsia="en-IE"/>
        </w:rPr>
        <w:t>customised</w:t>
      </w:r>
      <w:proofErr w:type="spellEnd"/>
      <w:r>
        <w:rPr>
          <w:rFonts w:ascii="Arial" w:eastAsia="Times New Roman" w:hAnsi="Arial" w:cs="Arial"/>
          <w:color w:val="333333"/>
          <w:sz w:val="21"/>
          <w:szCs w:val="21"/>
          <w:lang w:val="en" w:eastAsia="en-IE"/>
        </w:rPr>
        <w:t xml:space="preserve"> programs, strategic consultancies, human resource consultancies, corporate universities and remote </w:t>
      </w:r>
      <w:proofErr w:type="spellStart"/>
      <w:r>
        <w:rPr>
          <w:rFonts w:ascii="Arial" w:eastAsia="Times New Roman" w:hAnsi="Arial" w:cs="Arial"/>
          <w:color w:val="333333"/>
          <w:sz w:val="21"/>
          <w:szCs w:val="21"/>
          <w:lang w:val="en" w:eastAsia="en-IE"/>
        </w:rPr>
        <w:t>personalised</w:t>
      </w:r>
      <w:proofErr w:type="spellEnd"/>
      <w:r>
        <w:rPr>
          <w:rFonts w:ascii="Arial" w:eastAsia="Times New Roman" w:hAnsi="Arial" w:cs="Arial"/>
          <w:color w:val="333333"/>
          <w:sz w:val="21"/>
          <w:szCs w:val="21"/>
          <w:lang w:val="en" w:eastAsia="en-IE"/>
        </w:rPr>
        <w:t xml:space="preserve"> learning platforms. </w:t>
      </w:r>
    </w:p>
    <w:p w14:paraId="6656E607"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lastRenderedPageBreak/>
        <w:t xml:space="preserve">According to </w:t>
      </w:r>
      <w:proofErr w:type="spellStart"/>
      <w:r>
        <w:rPr>
          <w:rFonts w:ascii="Arial" w:eastAsia="Times New Roman" w:hAnsi="Arial" w:cs="Arial"/>
          <w:color w:val="333333"/>
          <w:sz w:val="21"/>
          <w:szCs w:val="21"/>
          <w:lang w:val="en" w:eastAsia="en-IE"/>
        </w:rPr>
        <w:t>Moldoveanu</w:t>
      </w:r>
      <w:proofErr w:type="spellEnd"/>
      <w:r>
        <w:rPr>
          <w:rFonts w:ascii="Arial" w:eastAsia="Times New Roman" w:hAnsi="Arial" w:cs="Arial"/>
          <w:color w:val="333333"/>
          <w:sz w:val="21"/>
          <w:szCs w:val="21"/>
          <w:lang w:val="en" w:eastAsia="en-IE"/>
        </w:rPr>
        <w:t xml:space="preserve"> and </w:t>
      </w:r>
      <w:proofErr w:type="spellStart"/>
      <w:r>
        <w:rPr>
          <w:rFonts w:ascii="Arial" w:eastAsia="Times New Roman" w:hAnsi="Arial" w:cs="Arial"/>
          <w:color w:val="333333"/>
          <w:sz w:val="21"/>
          <w:szCs w:val="21"/>
          <w:lang w:val="en" w:eastAsia="en-IE"/>
        </w:rPr>
        <w:t>Narayandas</w:t>
      </w:r>
      <w:proofErr w:type="spellEnd"/>
      <w:r>
        <w:rPr>
          <w:rFonts w:ascii="Arial" w:eastAsia="Times New Roman" w:hAnsi="Arial" w:cs="Arial"/>
          <w:color w:val="333333"/>
          <w:sz w:val="21"/>
          <w:szCs w:val="21"/>
          <w:lang w:val="en" w:eastAsia="en-IE"/>
        </w:rPr>
        <w:t xml:space="preserve"> (2019), the rapid </w:t>
      </w:r>
      <w:proofErr w:type="spellStart"/>
      <w:r>
        <w:rPr>
          <w:rFonts w:ascii="Arial" w:eastAsia="Times New Roman" w:hAnsi="Arial" w:cs="Arial"/>
          <w:color w:val="333333"/>
          <w:sz w:val="21"/>
          <w:szCs w:val="21"/>
          <w:lang w:val="en" w:eastAsia="en-IE"/>
        </w:rPr>
        <w:t>digitalisation</w:t>
      </w:r>
      <w:proofErr w:type="spellEnd"/>
      <w:r>
        <w:rPr>
          <w:rFonts w:ascii="Arial" w:eastAsia="Times New Roman" w:hAnsi="Arial" w:cs="Arial"/>
          <w:color w:val="333333"/>
          <w:sz w:val="21"/>
          <w:szCs w:val="21"/>
          <w:lang w:val="en" w:eastAsia="en-IE"/>
        </w:rPr>
        <w:t xml:space="preserve"> of content and interaction is making learning more </w:t>
      </w:r>
      <w:proofErr w:type="spellStart"/>
      <w:r>
        <w:rPr>
          <w:rFonts w:ascii="Arial" w:eastAsia="Times New Roman" w:hAnsi="Arial" w:cs="Arial"/>
          <w:color w:val="333333"/>
          <w:sz w:val="21"/>
          <w:szCs w:val="21"/>
          <w:lang w:val="en" w:eastAsia="en-IE"/>
        </w:rPr>
        <w:t>personalised</w:t>
      </w:r>
      <w:proofErr w:type="spellEnd"/>
      <w:r>
        <w:rPr>
          <w:rFonts w:ascii="Arial" w:eastAsia="Times New Roman" w:hAnsi="Arial" w:cs="Arial"/>
          <w:color w:val="333333"/>
          <w:sz w:val="21"/>
          <w:szCs w:val="21"/>
          <w:lang w:val="en" w:eastAsia="en-IE"/>
        </w:rPr>
        <w:t xml:space="preserve">, </w:t>
      </w:r>
      <w:proofErr w:type="spellStart"/>
      <w:r>
        <w:rPr>
          <w:rFonts w:ascii="Arial" w:eastAsia="Times New Roman" w:hAnsi="Arial" w:cs="Arial"/>
          <w:color w:val="333333"/>
          <w:sz w:val="21"/>
          <w:szCs w:val="21"/>
          <w:lang w:val="en" w:eastAsia="en-IE"/>
        </w:rPr>
        <w:t>socialised</w:t>
      </w:r>
      <w:proofErr w:type="spellEnd"/>
      <w:r>
        <w:rPr>
          <w:rFonts w:ascii="Arial" w:eastAsia="Times New Roman" w:hAnsi="Arial" w:cs="Arial"/>
          <w:color w:val="333333"/>
          <w:sz w:val="21"/>
          <w:szCs w:val="21"/>
          <w:lang w:val="en" w:eastAsia="en-IE"/>
        </w:rPr>
        <w:t xml:space="preserve">, </w:t>
      </w:r>
      <w:proofErr w:type="spellStart"/>
      <w:r>
        <w:rPr>
          <w:rFonts w:ascii="Arial" w:eastAsia="Times New Roman" w:hAnsi="Arial" w:cs="Arial"/>
          <w:color w:val="333333"/>
          <w:sz w:val="21"/>
          <w:szCs w:val="21"/>
          <w:lang w:val="en" w:eastAsia="en-IE"/>
        </w:rPr>
        <w:t>contextualised</w:t>
      </w:r>
      <w:proofErr w:type="spellEnd"/>
      <w:r>
        <w:rPr>
          <w:rFonts w:ascii="Arial" w:eastAsia="Times New Roman" w:hAnsi="Arial" w:cs="Arial"/>
          <w:color w:val="333333"/>
          <w:sz w:val="21"/>
          <w:szCs w:val="21"/>
          <w:lang w:val="en" w:eastAsia="en-IE"/>
        </w:rPr>
        <w:t xml:space="preserve"> and transparently tracked. What they call the Personal Learning Cloud (PLC) is reshaping the leadership development industry in three important ways…</w:t>
      </w:r>
    </w:p>
    <w:p w14:paraId="2EC37E20"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Allows the disaggregation (or unbundling) of the low-cost elements (lectures, cases, exercises etc.) from the high-cost elements (</w:t>
      </w:r>
      <w:proofErr w:type="spellStart"/>
      <w:r>
        <w:rPr>
          <w:rFonts w:ascii="Arial" w:eastAsia="Times New Roman" w:hAnsi="Arial" w:cs="Arial"/>
          <w:color w:val="333333"/>
          <w:sz w:val="21"/>
          <w:szCs w:val="21"/>
          <w:lang w:val="en" w:eastAsia="en-IE"/>
        </w:rPr>
        <w:t>personalised</w:t>
      </w:r>
      <w:proofErr w:type="spellEnd"/>
      <w:r>
        <w:rPr>
          <w:rFonts w:ascii="Arial" w:eastAsia="Times New Roman" w:hAnsi="Arial" w:cs="Arial"/>
          <w:color w:val="333333"/>
          <w:sz w:val="21"/>
          <w:szCs w:val="21"/>
          <w:lang w:val="en" w:eastAsia="en-IE"/>
        </w:rPr>
        <w:t xml:space="preserve"> coaching, project-based learning and feedback intensive group sessions); </w:t>
      </w:r>
    </w:p>
    <w:p w14:paraId="1CCA5477"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         Makes it easier to involve much more people, with much less costs in both time and expense, and thus reducing the cost of participation </w:t>
      </w:r>
    </w:p>
    <w:p w14:paraId="19170D9C"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         Leads to disintermediation, with companies able to go directly to high-quality teachers, learning experiences and modules, and not be limited to a take-all or nothing approach </w:t>
      </w:r>
    </w:p>
    <w:p w14:paraId="2471CBE0"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Amongst the many practitioners delivering leadership development (in Ireland at least, in my experience) the attraction of digital technology is that it can potentially help more people participate in leadership development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Specifically, such innovation </w:t>
      </w:r>
    </w:p>
    <w:p w14:paraId="3CA71EAD"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a)    Allows people in different locations to participate, who otherwise could not attend</w:t>
      </w:r>
    </w:p>
    <w:p w14:paraId="7250A591"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b)    Enables much greater numbers participate in some, if indeed many, aspects </w:t>
      </w:r>
    </w:p>
    <w:p w14:paraId="1AEC99E6"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c)    Provides more efficient delivery of key parts e.g. provision and sharing of lectures etc.</w:t>
      </w:r>
    </w:p>
    <w:p w14:paraId="01D8C787"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d)    Facilitates people with some physical challenges e.g. hearing, mobility etc. can join in </w:t>
      </w:r>
    </w:p>
    <w:p w14:paraId="746B37A5"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On the other hand, many practitioners consider that the cost of such increased access and/or scale may be a dilution of the impact of the delivery of the leadership </w:t>
      </w:r>
      <w:proofErr w:type="spellStart"/>
      <w:r>
        <w:rPr>
          <w:rFonts w:ascii="Arial" w:eastAsia="Times New Roman" w:hAnsi="Arial" w:cs="Arial"/>
          <w:color w:val="333333"/>
          <w:sz w:val="21"/>
          <w:szCs w:val="21"/>
          <w:lang w:val="en" w:eastAsia="en-IE"/>
        </w:rPr>
        <w:t>programme</w:t>
      </w:r>
      <w:proofErr w:type="spellEnd"/>
      <w:r>
        <w:rPr>
          <w:rFonts w:ascii="Arial" w:eastAsia="Times New Roman" w:hAnsi="Arial" w:cs="Arial"/>
          <w:color w:val="333333"/>
          <w:sz w:val="21"/>
          <w:szCs w:val="21"/>
          <w:lang w:val="en" w:eastAsia="en-IE"/>
        </w:rPr>
        <w:t xml:space="preserve"> changing it from a transformational to a transactional </w:t>
      </w:r>
      <w:proofErr w:type="spellStart"/>
      <w:r>
        <w:rPr>
          <w:rFonts w:ascii="Arial" w:eastAsia="Times New Roman" w:hAnsi="Arial" w:cs="Arial"/>
          <w:color w:val="333333"/>
          <w:sz w:val="21"/>
          <w:szCs w:val="21"/>
          <w:lang w:val="en" w:eastAsia="en-IE"/>
        </w:rPr>
        <w:t>programme</w:t>
      </w:r>
      <w:proofErr w:type="spellEnd"/>
      <w:r>
        <w:rPr>
          <w:rFonts w:ascii="Arial" w:eastAsia="Times New Roman" w:hAnsi="Arial" w:cs="Arial"/>
          <w:color w:val="333333"/>
          <w:sz w:val="21"/>
          <w:szCs w:val="21"/>
          <w:lang w:val="en" w:eastAsia="en-IE"/>
        </w:rPr>
        <w:t xml:space="preserve">, with little or no change in </w:t>
      </w:r>
      <w:proofErr w:type="gramStart"/>
      <w:r>
        <w:rPr>
          <w:rFonts w:ascii="Arial" w:eastAsia="Times New Roman" w:hAnsi="Arial" w:cs="Arial"/>
          <w:color w:val="333333"/>
          <w:sz w:val="21"/>
          <w:szCs w:val="21"/>
          <w:lang w:val="en" w:eastAsia="en-IE"/>
        </w:rPr>
        <w:t>participants</w:t>
      </w:r>
      <w:proofErr w:type="gramEnd"/>
      <w:r>
        <w:rPr>
          <w:rFonts w:ascii="Arial" w:eastAsia="Times New Roman" w:hAnsi="Arial" w:cs="Arial"/>
          <w:color w:val="333333"/>
          <w:sz w:val="21"/>
          <w:szCs w:val="21"/>
          <w:lang w:val="en" w:eastAsia="en-IE"/>
        </w:rPr>
        <w:t xml:space="preserve"> leadership skills, capabilities or ambitions. This practitioners’ debate around the usage of online in leadership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has generally assumed a trade-off between face2face and impact. The greater the face2face interaction, the greater will be the impact and transformation; and conversely the greater the online engagement, the lesser will be the impact and transformation. What the evidence for this view is </w:t>
      </w:r>
      <w:proofErr w:type="spellStart"/>
      <w:r>
        <w:rPr>
          <w:rFonts w:ascii="Arial" w:eastAsia="Times New Roman" w:hAnsi="Arial" w:cs="Arial"/>
          <w:color w:val="333333"/>
          <w:sz w:val="21"/>
          <w:szCs w:val="21"/>
          <w:lang w:val="en" w:eastAsia="en-IE"/>
        </w:rPr>
        <w:t>is</w:t>
      </w:r>
      <w:proofErr w:type="spellEnd"/>
      <w:r>
        <w:rPr>
          <w:rFonts w:ascii="Arial" w:eastAsia="Times New Roman" w:hAnsi="Arial" w:cs="Arial"/>
          <w:color w:val="333333"/>
          <w:sz w:val="21"/>
          <w:szCs w:val="21"/>
          <w:lang w:val="en" w:eastAsia="en-IE"/>
        </w:rPr>
        <w:t xml:space="preserve"> not clear. What </w:t>
      </w:r>
      <w:proofErr w:type="spellStart"/>
      <w:r>
        <w:rPr>
          <w:rFonts w:ascii="Arial" w:eastAsia="Times New Roman" w:hAnsi="Arial" w:cs="Arial"/>
          <w:color w:val="333333"/>
          <w:sz w:val="21"/>
          <w:szCs w:val="21"/>
          <w:lang w:val="en" w:eastAsia="en-IE"/>
        </w:rPr>
        <w:t>Moldoveanu</w:t>
      </w:r>
      <w:proofErr w:type="spellEnd"/>
      <w:r>
        <w:rPr>
          <w:rFonts w:ascii="Arial" w:eastAsia="Times New Roman" w:hAnsi="Arial" w:cs="Arial"/>
          <w:color w:val="333333"/>
          <w:sz w:val="21"/>
          <w:szCs w:val="21"/>
          <w:lang w:val="en" w:eastAsia="en-IE"/>
        </w:rPr>
        <w:t xml:space="preserve"> and </w:t>
      </w:r>
      <w:proofErr w:type="spellStart"/>
      <w:r>
        <w:rPr>
          <w:rFonts w:ascii="Arial" w:eastAsia="Times New Roman" w:hAnsi="Arial" w:cs="Arial"/>
          <w:color w:val="333333"/>
          <w:sz w:val="21"/>
          <w:szCs w:val="21"/>
          <w:lang w:val="en" w:eastAsia="en-IE"/>
        </w:rPr>
        <w:t>Narayandas</w:t>
      </w:r>
      <w:proofErr w:type="spellEnd"/>
      <w:r>
        <w:rPr>
          <w:rFonts w:ascii="Arial" w:eastAsia="Times New Roman" w:hAnsi="Arial" w:cs="Arial"/>
          <w:color w:val="333333"/>
          <w:sz w:val="21"/>
          <w:szCs w:val="21"/>
          <w:lang w:val="en" w:eastAsia="en-IE"/>
        </w:rPr>
        <w:t xml:space="preserve"> (2019) bring out is </w:t>
      </w:r>
      <w:proofErr w:type="spellStart"/>
      <w:r>
        <w:rPr>
          <w:rFonts w:ascii="Arial" w:eastAsia="Times New Roman" w:hAnsi="Arial" w:cs="Arial"/>
          <w:color w:val="333333"/>
          <w:sz w:val="21"/>
          <w:szCs w:val="21"/>
          <w:lang w:val="en" w:eastAsia="en-IE"/>
        </w:rPr>
        <w:t>is</w:t>
      </w:r>
      <w:proofErr w:type="spellEnd"/>
      <w:r>
        <w:rPr>
          <w:rFonts w:ascii="Arial" w:eastAsia="Times New Roman" w:hAnsi="Arial" w:cs="Arial"/>
          <w:color w:val="333333"/>
          <w:sz w:val="21"/>
          <w:szCs w:val="21"/>
          <w:lang w:val="en" w:eastAsia="en-IE"/>
        </w:rPr>
        <w:t xml:space="preserve"> that such a trade-off may indeed be the case if </w:t>
      </w:r>
      <w:proofErr w:type="spellStart"/>
      <w:r>
        <w:rPr>
          <w:rFonts w:ascii="Arial" w:eastAsia="Times New Roman" w:hAnsi="Arial" w:cs="Arial"/>
          <w:color w:val="333333"/>
          <w:sz w:val="21"/>
          <w:szCs w:val="21"/>
          <w:lang w:val="en" w:eastAsia="en-IE"/>
        </w:rPr>
        <w:t>digitalisation</w:t>
      </w:r>
      <w:proofErr w:type="spellEnd"/>
      <w:r>
        <w:rPr>
          <w:rFonts w:ascii="Arial" w:eastAsia="Times New Roman" w:hAnsi="Arial" w:cs="Arial"/>
          <w:color w:val="333333"/>
          <w:sz w:val="21"/>
          <w:szCs w:val="21"/>
          <w:lang w:val="en" w:eastAsia="en-IE"/>
        </w:rPr>
        <w:t xml:space="preserve">, </w:t>
      </w:r>
      <w:proofErr w:type="spellStart"/>
      <w:r>
        <w:rPr>
          <w:rFonts w:ascii="Arial" w:eastAsia="Times New Roman" w:hAnsi="Arial" w:cs="Arial"/>
          <w:color w:val="333333"/>
          <w:sz w:val="21"/>
          <w:szCs w:val="21"/>
          <w:lang w:val="en" w:eastAsia="en-IE"/>
        </w:rPr>
        <w:t>elearning</w:t>
      </w:r>
      <w:proofErr w:type="spellEnd"/>
      <w:r>
        <w:rPr>
          <w:rFonts w:ascii="Arial" w:eastAsia="Times New Roman" w:hAnsi="Arial" w:cs="Arial"/>
          <w:color w:val="333333"/>
          <w:sz w:val="21"/>
          <w:szCs w:val="21"/>
          <w:lang w:val="en" w:eastAsia="en-IE"/>
        </w:rPr>
        <w:t xml:space="preserve"> and online is defined as just the use of remote learning platforms, with their advantages </w:t>
      </w:r>
      <w:proofErr w:type="gramStart"/>
      <w:r>
        <w:rPr>
          <w:rFonts w:ascii="Arial" w:eastAsia="Times New Roman" w:hAnsi="Arial" w:cs="Arial"/>
          <w:color w:val="333333"/>
          <w:sz w:val="21"/>
          <w:szCs w:val="21"/>
          <w:lang w:val="en" w:eastAsia="en-IE"/>
        </w:rPr>
        <w:t>of  “</w:t>
      </w:r>
      <w:proofErr w:type="gramEnd"/>
      <w:r>
        <w:rPr>
          <w:rFonts w:ascii="Arial" w:eastAsia="Times New Roman" w:hAnsi="Arial" w:cs="Arial"/>
          <w:color w:val="333333"/>
          <w:sz w:val="21"/>
          <w:szCs w:val="21"/>
          <w:lang w:val="en" w:eastAsia="en-IE"/>
        </w:rPr>
        <w:t>low-cost alternatives to programs that transfer functional and technical knowledge” but with limits on “</w:t>
      </w:r>
      <w:proofErr w:type="spellStart"/>
      <w:r>
        <w:rPr>
          <w:rFonts w:ascii="Arial" w:eastAsia="Times New Roman" w:hAnsi="Arial" w:cs="Arial"/>
          <w:color w:val="333333"/>
          <w:sz w:val="21"/>
          <w:szCs w:val="21"/>
          <w:lang w:val="en" w:eastAsia="en-IE"/>
        </w:rPr>
        <w:t>contextualised</w:t>
      </w:r>
      <w:proofErr w:type="spellEnd"/>
      <w:r>
        <w:rPr>
          <w:rFonts w:ascii="Arial" w:eastAsia="Times New Roman" w:hAnsi="Arial" w:cs="Arial"/>
          <w:color w:val="333333"/>
          <w:sz w:val="21"/>
          <w:szCs w:val="21"/>
          <w:lang w:val="en" w:eastAsia="en-IE"/>
        </w:rPr>
        <w:t xml:space="preserve"> learning and the development of relational, affective and collaborative skills”. </w:t>
      </w:r>
    </w:p>
    <w:p w14:paraId="50429839"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However, they draw particular attention to the explosion in company </w:t>
      </w:r>
      <w:proofErr w:type="spellStart"/>
      <w:r>
        <w:rPr>
          <w:rFonts w:ascii="Arial" w:eastAsia="Times New Roman" w:hAnsi="Arial" w:cs="Arial"/>
          <w:color w:val="333333"/>
          <w:sz w:val="21"/>
          <w:szCs w:val="21"/>
          <w:lang w:val="en" w:eastAsia="en-IE"/>
        </w:rPr>
        <w:t>inhouse</w:t>
      </w:r>
      <w:proofErr w:type="spellEnd"/>
      <w:r>
        <w:rPr>
          <w:rFonts w:ascii="Arial" w:eastAsia="Times New Roman" w:hAnsi="Arial" w:cs="Arial"/>
          <w:color w:val="333333"/>
          <w:sz w:val="21"/>
          <w:szCs w:val="21"/>
          <w:lang w:val="en" w:eastAsia="en-IE"/>
        </w:rPr>
        <w:t xml:space="preserve"> learning platforms (corporate universities) and their ability to choose and mix and match from a wide range of low- and high-cost learning interventions, and to develop a spectrum of blends of face2face and online elements, which </w:t>
      </w:r>
      <w:proofErr w:type="spellStart"/>
      <w:r>
        <w:rPr>
          <w:rFonts w:ascii="Arial" w:eastAsia="Times New Roman" w:hAnsi="Arial" w:cs="Arial"/>
          <w:color w:val="333333"/>
          <w:sz w:val="21"/>
          <w:szCs w:val="21"/>
          <w:lang w:val="en" w:eastAsia="en-IE"/>
        </w:rPr>
        <w:t>maximise</w:t>
      </w:r>
      <w:proofErr w:type="spellEnd"/>
      <w:r>
        <w:rPr>
          <w:rFonts w:ascii="Arial" w:eastAsia="Times New Roman" w:hAnsi="Arial" w:cs="Arial"/>
          <w:color w:val="333333"/>
          <w:sz w:val="21"/>
          <w:szCs w:val="21"/>
          <w:lang w:val="en" w:eastAsia="en-IE"/>
        </w:rPr>
        <w:t xml:space="preserve"> both value and impact as tailored for the </w:t>
      </w:r>
      <w:proofErr w:type="spellStart"/>
      <w:r>
        <w:rPr>
          <w:rFonts w:ascii="Arial" w:eastAsia="Times New Roman" w:hAnsi="Arial" w:cs="Arial"/>
          <w:color w:val="333333"/>
          <w:sz w:val="21"/>
          <w:szCs w:val="21"/>
          <w:lang w:val="en" w:eastAsia="en-IE"/>
        </w:rPr>
        <w:t>organisation</w:t>
      </w:r>
      <w:proofErr w:type="spellEnd"/>
      <w:r>
        <w:rPr>
          <w:rFonts w:ascii="Arial" w:eastAsia="Times New Roman" w:hAnsi="Arial" w:cs="Arial"/>
          <w:color w:val="333333"/>
          <w:sz w:val="21"/>
          <w:szCs w:val="21"/>
          <w:lang w:val="en" w:eastAsia="en-IE"/>
        </w:rPr>
        <w:t xml:space="preserve"> and participants.  Even more critically, they consider that the timely, intensive and </w:t>
      </w:r>
      <w:proofErr w:type="spellStart"/>
      <w:r>
        <w:rPr>
          <w:rFonts w:ascii="Arial" w:eastAsia="Times New Roman" w:hAnsi="Arial" w:cs="Arial"/>
          <w:color w:val="333333"/>
          <w:sz w:val="21"/>
          <w:szCs w:val="21"/>
          <w:lang w:val="en" w:eastAsia="en-IE"/>
        </w:rPr>
        <w:t>personalised</w:t>
      </w:r>
      <w:proofErr w:type="spellEnd"/>
      <w:r>
        <w:rPr>
          <w:rFonts w:ascii="Arial" w:eastAsia="Times New Roman" w:hAnsi="Arial" w:cs="Arial"/>
          <w:color w:val="333333"/>
          <w:sz w:val="21"/>
          <w:szCs w:val="21"/>
          <w:lang w:val="en" w:eastAsia="en-IE"/>
        </w:rPr>
        <w:t xml:space="preserve"> engagement, guidance and feedback that is required for deep systematic </w:t>
      </w:r>
      <w:proofErr w:type="spellStart"/>
      <w:r>
        <w:rPr>
          <w:rFonts w:ascii="Arial" w:eastAsia="Times New Roman" w:hAnsi="Arial" w:cs="Arial"/>
          <w:color w:val="333333"/>
          <w:sz w:val="21"/>
          <w:szCs w:val="21"/>
          <w:lang w:val="en" w:eastAsia="en-IE"/>
        </w:rPr>
        <w:t>behaviour</w:t>
      </w:r>
      <w:proofErr w:type="spellEnd"/>
      <w:r>
        <w:rPr>
          <w:rFonts w:ascii="Arial" w:eastAsia="Times New Roman" w:hAnsi="Arial" w:cs="Arial"/>
          <w:color w:val="333333"/>
          <w:sz w:val="21"/>
          <w:szCs w:val="21"/>
          <w:lang w:val="en" w:eastAsia="en-IE"/>
        </w:rPr>
        <w:t xml:space="preserve"> change is now being addressed, with online interactive activities that feature peer mutual feedback and learning on the job, as well as web-based case teaching and discussions and other forms of action learning. </w:t>
      </w:r>
    </w:p>
    <w:p w14:paraId="25D6A70A"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p>
    <w:p w14:paraId="36D2E66D" w14:textId="77777777" w:rsidR="00B57E04" w:rsidRDefault="00B57E04" w:rsidP="00B57E04">
      <w:pPr>
        <w:shd w:val="clear" w:color="auto" w:fill="FFFFFF"/>
        <w:spacing w:before="75" w:after="225" w:line="240" w:lineRule="auto"/>
        <w:rPr>
          <w:rFonts w:ascii="Arial" w:eastAsia="Times New Roman" w:hAnsi="Arial" w:cs="Arial"/>
          <w:b/>
          <w:bCs/>
          <w:color w:val="333333"/>
          <w:sz w:val="21"/>
          <w:szCs w:val="21"/>
          <w:lang w:val="en" w:eastAsia="en-IE"/>
        </w:rPr>
      </w:pPr>
    </w:p>
    <w:p w14:paraId="53DEBB7D" w14:textId="77777777" w:rsidR="00B57E04" w:rsidRDefault="00B57E04" w:rsidP="00B57E04">
      <w:pPr>
        <w:shd w:val="clear" w:color="auto" w:fill="FFFFFF"/>
        <w:spacing w:before="75" w:after="225" w:line="240" w:lineRule="auto"/>
        <w:rPr>
          <w:rFonts w:ascii="Arial" w:eastAsia="Times New Roman" w:hAnsi="Arial" w:cs="Arial"/>
          <w:b/>
          <w:bCs/>
          <w:color w:val="333333"/>
          <w:sz w:val="21"/>
          <w:szCs w:val="21"/>
          <w:lang w:val="en" w:eastAsia="en-IE"/>
        </w:rPr>
      </w:pPr>
    </w:p>
    <w:p w14:paraId="22CB86B9" w14:textId="77777777" w:rsidR="00B57E04" w:rsidRDefault="00B57E04" w:rsidP="00B57E04">
      <w:pPr>
        <w:shd w:val="clear" w:color="auto" w:fill="FFFFFF"/>
        <w:spacing w:before="75" w:after="225" w:line="240" w:lineRule="auto"/>
        <w:rPr>
          <w:rFonts w:ascii="Arial" w:eastAsia="Times New Roman" w:hAnsi="Arial" w:cs="Arial"/>
          <w:b/>
          <w:bCs/>
          <w:color w:val="333333"/>
          <w:sz w:val="21"/>
          <w:szCs w:val="21"/>
          <w:lang w:val="en" w:eastAsia="en-IE"/>
        </w:rPr>
      </w:pPr>
    </w:p>
    <w:p w14:paraId="74FC38A7"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b/>
          <w:bCs/>
          <w:color w:val="333333"/>
          <w:sz w:val="21"/>
          <w:szCs w:val="21"/>
          <w:lang w:val="en" w:eastAsia="en-IE"/>
        </w:rPr>
        <w:lastRenderedPageBreak/>
        <w:t xml:space="preserve">The Tactical Application </w:t>
      </w:r>
    </w:p>
    <w:p w14:paraId="0B164985"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Despite the proliferation of blended and online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there is not a considerable body of research work relating technology and leadership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Indeed, Phelps (2012) states that “…amid all the conversations and research related to leadership education, there is little, if any, mention of pedagogical incorporation of technology.” A glance at Kellerman (2018), which is a comprehensive review of the leadership industry, confirms this view, as it does not address, or even mention in the index, online as a means of </w:t>
      </w:r>
      <w:proofErr w:type="spellStart"/>
      <w:r>
        <w:rPr>
          <w:rFonts w:ascii="Arial" w:eastAsia="Times New Roman" w:hAnsi="Arial" w:cs="Arial"/>
          <w:color w:val="333333"/>
          <w:sz w:val="21"/>
          <w:szCs w:val="21"/>
          <w:lang w:val="en" w:eastAsia="en-IE"/>
        </w:rPr>
        <w:t>programme</w:t>
      </w:r>
      <w:proofErr w:type="spellEnd"/>
      <w:r>
        <w:rPr>
          <w:rFonts w:ascii="Arial" w:eastAsia="Times New Roman" w:hAnsi="Arial" w:cs="Arial"/>
          <w:color w:val="333333"/>
          <w:sz w:val="21"/>
          <w:szCs w:val="21"/>
          <w:lang w:val="en" w:eastAsia="en-IE"/>
        </w:rPr>
        <w:t xml:space="preserve"> delivery. The ILA (2009) Guideline for leadership education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does not mention at all online as a means of delivery, in its Section 4 on Teaching and Learning Techniques. </w:t>
      </w:r>
    </w:p>
    <w:p w14:paraId="710F27B0"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There a few studies that do indeed address the issue. Jenkins (2016) examines in a global quantitative study the instructional and assessment strategies of 118 leadership educators (almost all in North America). He develops a useful comprehensive </w:t>
      </w:r>
      <w:proofErr w:type="spellStart"/>
      <w:r>
        <w:rPr>
          <w:rFonts w:ascii="Arial" w:eastAsia="Times New Roman" w:hAnsi="Arial" w:cs="Arial"/>
          <w:color w:val="333333"/>
          <w:sz w:val="21"/>
          <w:szCs w:val="21"/>
          <w:lang w:val="en" w:eastAsia="en-IE"/>
        </w:rPr>
        <w:t>categorisation</w:t>
      </w:r>
      <w:proofErr w:type="spellEnd"/>
      <w:r>
        <w:rPr>
          <w:rFonts w:ascii="Arial" w:eastAsia="Times New Roman" w:hAnsi="Arial" w:cs="Arial"/>
          <w:color w:val="333333"/>
          <w:sz w:val="21"/>
          <w:szCs w:val="21"/>
          <w:lang w:val="en" w:eastAsia="en-IE"/>
        </w:rPr>
        <w:t xml:space="preserve"> of both online instructional and assessment strategies. His conclusion is that discussion-based pedagogies using online discussion boards were mainly used, and other frequently used techniques included reflection, case studies, and group or individual projects. He also reflected that group work was more popular for graduate -level than for undergraduate level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Contrasting this survey of online practitioners with his own previous review of undergraduate face2face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(Jenkins 2012), he interestingly considers that group work is more common for face2face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than for on-line. Phelps (2012) reviews a range of </w:t>
      </w:r>
      <w:proofErr w:type="spellStart"/>
      <w:r>
        <w:rPr>
          <w:rFonts w:ascii="Arial" w:eastAsia="Times New Roman" w:hAnsi="Arial" w:cs="Arial"/>
          <w:color w:val="333333"/>
          <w:sz w:val="21"/>
          <w:szCs w:val="21"/>
          <w:lang w:val="en" w:eastAsia="en-IE"/>
        </w:rPr>
        <w:t>elearning</w:t>
      </w:r>
      <w:proofErr w:type="spellEnd"/>
      <w:r>
        <w:rPr>
          <w:rFonts w:ascii="Arial" w:eastAsia="Times New Roman" w:hAnsi="Arial" w:cs="Arial"/>
          <w:color w:val="333333"/>
          <w:sz w:val="21"/>
          <w:szCs w:val="21"/>
          <w:lang w:val="en" w:eastAsia="en-IE"/>
        </w:rPr>
        <w:t xml:space="preserve"> tools and examples of their application to leadership education. She concludes that three considerations must be kept in mind in using technology in such leadership development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They are </w:t>
      </w:r>
    </w:p>
    <w:p w14:paraId="6D7289DD"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a)       </w:t>
      </w:r>
      <w:r>
        <w:rPr>
          <w:rFonts w:ascii="Arial" w:eastAsia="Times New Roman" w:hAnsi="Arial" w:cs="Arial"/>
          <w:i/>
          <w:iCs/>
          <w:color w:val="333333"/>
          <w:sz w:val="21"/>
          <w:szCs w:val="21"/>
          <w:lang w:val="en" w:eastAsia="en-IE"/>
        </w:rPr>
        <w:t>specificity</w:t>
      </w:r>
      <w:r>
        <w:rPr>
          <w:rFonts w:ascii="Arial" w:eastAsia="Times New Roman" w:hAnsi="Arial" w:cs="Arial"/>
          <w:color w:val="333333"/>
          <w:sz w:val="21"/>
          <w:szCs w:val="21"/>
          <w:lang w:val="en" w:eastAsia="en-IE"/>
        </w:rPr>
        <w:t>, i.e. “tied to clear educational goals” and not use of “media that is unnecessary or non-sustainable”</w:t>
      </w:r>
    </w:p>
    <w:p w14:paraId="5E1FD819"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b)      </w:t>
      </w:r>
      <w:r>
        <w:rPr>
          <w:rFonts w:ascii="Arial" w:eastAsia="Times New Roman" w:hAnsi="Arial" w:cs="Arial"/>
          <w:i/>
          <w:iCs/>
          <w:color w:val="333333"/>
          <w:sz w:val="21"/>
          <w:szCs w:val="21"/>
          <w:lang w:val="en" w:eastAsia="en-IE"/>
        </w:rPr>
        <w:t>integration</w:t>
      </w:r>
      <w:r>
        <w:rPr>
          <w:rFonts w:ascii="Arial" w:eastAsia="Times New Roman" w:hAnsi="Arial" w:cs="Arial"/>
          <w:color w:val="333333"/>
          <w:sz w:val="21"/>
          <w:szCs w:val="21"/>
          <w:lang w:val="en" w:eastAsia="en-IE"/>
        </w:rPr>
        <w:t>, in that the technology integrates with the content and curriculum – too much can just be confusing and in-effective; and</w:t>
      </w:r>
    </w:p>
    <w:p w14:paraId="06B217D1"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c)       </w:t>
      </w:r>
      <w:r>
        <w:rPr>
          <w:rFonts w:ascii="Arial" w:eastAsia="Times New Roman" w:hAnsi="Arial" w:cs="Arial"/>
          <w:i/>
          <w:iCs/>
          <w:color w:val="333333"/>
          <w:sz w:val="21"/>
          <w:szCs w:val="21"/>
          <w:lang w:val="en" w:eastAsia="en-IE"/>
        </w:rPr>
        <w:t>audience,</w:t>
      </w:r>
      <w:r>
        <w:rPr>
          <w:rFonts w:ascii="Arial" w:eastAsia="Times New Roman" w:hAnsi="Arial" w:cs="Arial"/>
          <w:color w:val="333333"/>
          <w:sz w:val="21"/>
          <w:szCs w:val="21"/>
          <w:lang w:val="en" w:eastAsia="en-IE"/>
        </w:rPr>
        <w:t xml:space="preserve"> in that the student population may have very different experiences and approaches to technology, even for the digital native generation. </w:t>
      </w:r>
    </w:p>
    <w:p w14:paraId="79487381"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proofErr w:type="spellStart"/>
      <w:r>
        <w:rPr>
          <w:rFonts w:ascii="Arial" w:eastAsia="Times New Roman" w:hAnsi="Arial" w:cs="Arial"/>
          <w:color w:val="333333"/>
          <w:sz w:val="21"/>
          <w:szCs w:val="21"/>
          <w:lang w:val="en" w:eastAsia="en-IE"/>
        </w:rPr>
        <w:t>Sweetman</w:t>
      </w:r>
      <w:proofErr w:type="spellEnd"/>
      <w:r>
        <w:rPr>
          <w:rFonts w:ascii="Arial" w:eastAsia="Times New Roman" w:hAnsi="Arial" w:cs="Arial"/>
          <w:color w:val="333333"/>
          <w:sz w:val="21"/>
          <w:szCs w:val="21"/>
          <w:lang w:val="en" w:eastAsia="en-IE"/>
        </w:rPr>
        <w:t xml:space="preserve"> (2018) explores in a qualitative study how students in a particular profession (Occupational Therapy) developed leadership skills in an online leadership course. In reviewing the summative course evaluations and written reflective forum discussions, she found that a number of themes emerge, that show students changed their thinking about what leadership is as a result of the course, gained confidence to step up more into leadership roles within their work and profession, and found a number of factors key to their learning, notably reflection, assigned readings, peer support (as kind of informal mentoring support), and some insightful TED talks. </w:t>
      </w:r>
    </w:p>
    <w:p w14:paraId="6B84201C"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In reflection on the interesting studies that emerge from the literature review, albeit few in number, a number of issues/questions arise. First, the distinction between technology as tool or media and learning methods is not often or strongly articulated. Phelps (2012) does come closest, with a warning on the need to link the specific use of technology to specific educational goals. The distinction common in instructional design between Method and Media of learning is not articulated directly. For example, learning about the Principles of a particular topic (Method) can be done by in-class Lecturer, reading a book, listening to a </w:t>
      </w:r>
      <w:proofErr w:type="spellStart"/>
      <w:r>
        <w:rPr>
          <w:rFonts w:ascii="Arial" w:eastAsia="Times New Roman" w:hAnsi="Arial" w:cs="Arial"/>
          <w:color w:val="333333"/>
          <w:sz w:val="21"/>
          <w:szCs w:val="21"/>
          <w:lang w:val="en" w:eastAsia="en-IE"/>
        </w:rPr>
        <w:t>Tedtalk</w:t>
      </w:r>
      <w:proofErr w:type="spellEnd"/>
      <w:r>
        <w:rPr>
          <w:rFonts w:ascii="Arial" w:eastAsia="Times New Roman" w:hAnsi="Arial" w:cs="Arial"/>
          <w:color w:val="333333"/>
          <w:sz w:val="21"/>
          <w:szCs w:val="21"/>
          <w:lang w:val="en" w:eastAsia="en-IE"/>
        </w:rPr>
        <w:t xml:space="preserve"> etc. (Media). Second, as follow-on, the matching of Methods and Media needs to be quite specific and clear on how a particular method can be advanced by particular media, to achieve learning objectives and outcomes for the targeted group of learners. Third, in looking at particular examples of courses and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it would be useful to have a comparative framework of some sort. One common framework in instructional design, reflecting the approach of Clarke (2009), is outlined below. Such a framework might allow the development of a baseline to consider the use, and usefulness, of online delivery in leadership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w:t>
      </w:r>
    </w:p>
    <w:p w14:paraId="46D0C2F0" w14:textId="77777777" w:rsidR="00155685" w:rsidRP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b/>
          <w:bCs/>
          <w:color w:val="333333"/>
          <w:sz w:val="21"/>
          <w:szCs w:val="21"/>
          <w:lang w:val="en" w:eastAsia="en-IE"/>
        </w:rPr>
        <w:t> </w:t>
      </w:r>
    </w:p>
    <w:sectPr w:rsidR="00155685" w:rsidRPr="00B57E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665C"/>
    <w:rsid w:val="00155685"/>
    <w:rsid w:val="00B57E04"/>
    <w:rsid w:val="00CB665C"/>
    <w:rsid w:val="00F721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C90724"/>
  <w15:chartTrackingRefBased/>
  <w15:docId w15:val="{49547A4A-7E6F-4E5A-806C-CD81A6CA8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7E04"/>
    <w:pPr>
      <w:spacing w:line="256" w:lineRule="auto"/>
    </w:pPr>
    <w:rPr>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B57E04"/>
    <w:pPr>
      <w:spacing w:line="240" w:lineRule="auto"/>
    </w:pPr>
    <w:rPr>
      <w:sz w:val="20"/>
      <w:szCs w:val="20"/>
    </w:rPr>
  </w:style>
  <w:style w:type="character" w:customStyle="1" w:styleId="CommentTextChar">
    <w:name w:val="Comment Text Char"/>
    <w:basedOn w:val="DefaultParagraphFont"/>
    <w:link w:val="CommentText"/>
    <w:uiPriority w:val="99"/>
    <w:semiHidden/>
    <w:rsid w:val="00B57E04"/>
    <w:rPr>
      <w:sz w:val="20"/>
      <w:szCs w:val="20"/>
      <w:lang w:val="en-IE"/>
    </w:rPr>
  </w:style>
  <w:style w:type="character" w:styleId="CommentReference">
    <w:name w:val="annotation reference"/>
    <w:basedOn w:val="DefaultParagraphFont"/>
    <w:uiPriority w:val="99"/>
    <w:semiHidden/>
    <w:unhideWhenUsed/>
    <w:rsid w:val="00B57E04"/>
    <w:rPr>
      <w:sz w:val="16"/>
      <w:szCs w:val="16"/>
    </w:rPr>
  </w:style>
  <w:style w:type="paragraph" w:styleId="BalloonText">
    <w:name w:val="Balloon Text"/>
    <w:basedOn w:val="Normal"/>
    <w:link w:val="BalloonTextChar"/>
    <w:uiPriority w:val="99"/>
    <w:semiHidden/>
    <w:unhideWhenUsed/>
    <w:rsid w:val="00B57E0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7E04"/>
    <w:rPr>
      <w:rFonts w:ascii="Segoe UI" w:hAnsi="Segoe UI" w:cs="Segoe UI"/>
      <w:sz w:val="18"/>
      <w:szCs w:val="18"/>
      <w:lang w:val="en-IE"/>
    </w:rPr>
  </w:style>
  <w:style w:type="paragraph" w:styleId="CommentSubject">
    <w:name w:val="annotation subject"/>
    <w:basedOn w:val="CommentText"/>
    <w:next w:val="CommentText"/>
    <w:link w:val="CommentSubjectChar"/>
    <w:uiPriority w:val="99"/>
    <w:semiHidden/>
    <w:unhideWhenUsed/>
    <w:rsid w:val="00B57E04"/>
    <w:rPr>
      <w:b/>
      <w:bCs/>
    </w:rPr>
  </w:style>
  <w:style w:type="character" w:customStyle="1" w:styleId="CommentSubjectChar">
    <w:name w:val="Comment Subject Char"/>
    <w:basedOn w:val="CommentTextChar"/>
    <w:link w:val="CommentSubject"/>
    <w:uiPriority w:val="99"/>
    <w:semiHidden/>
    <w:rsid w:val="00B57E04"/>
    <w:rPr>
      <w:b/>
      <w:bCs/>
      <w:sz w:val="20"/>
      <w:szCs w:val="20"/>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7370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1686</Words>
  <Characters>9611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Niall O'Donnellan ...</dc:creator>
  <cp:keywords/>
  <dc:description/>
  <cp:lastModifiedBy>Niall O'Donnellan ...</cp:lastModifiedBy>
  <cp:revision>2</cp:revision>
  <dcterms:created xsi:type="dcterms:W3CDTF">2020-04-03T09:10:00Z</dcterms:created>
  <dcterms:modified xsi:type="dcterms:W3CDTF">2020-04-03T09:10:00Z</dcterms:modified>
</cp:coreProperties>
</file>